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0"/>
      </w:tblGrid>
      <w:tr w:rsidR="00B526F6" w:rsidTr="00B526F6">
        <w:tc>
          <w:tcPr>
            <w:tcW w:w="0" w:type="auto"/>
            <w:hideMark/>
          </w:tcPr>
          <w:tbl>
            <w:tblPr>
              <w:tblpPr w:leftFromText="36" w:rightFromText="36" w:vertAnchor="text"/>
              <w:tblW w:w="9000" w:type="dxa"/>
              <w:tblCellMar>
                <w:left w:w="0" w:type="dxa"/>
                <w:right w:w="0" w:type="dxa"/>
              </w:tblCellMar>
              <w:tblLook w:val="04A0"/>
            </w:tblPr>
            <w:tblGrid>
              <w:gridCol w:w="9000"/>
            </w:tblGrid>
            <w:tr w:rsidR="00B526F6">
              <w:tc>
                <w:tcPr>
                  <w:tcW w:w="0" w:type="auto"/>
                  <w:tcMar>
                    <w:top w:w="135" w:type="dxa"/>
                    <w:left w:w="270" w:type="dxa"/>
                    <w:bottom w:w="135" w:type="dxa"/>
                    <w:right w:w="270" w:type="dxa"/>
                  </w:tcMar>
                  <w:hideMark/>
                </w:tcPr>
                <w:p w:rsidR="00B526F6" w:rsidRDefault="00B526F6">
                  <w:pPr>
                    <w:spacing w:line="300" w:lineRule="auto"/>
                  </w:pPr>
                  <w:r>
                    <w:rPr>
                      <w:rFonts w:ascii="Trebuchet MS" w:hAnsi="Trebuchet MS"/>
                      <w:b/>
                      <w:bCs/>
                      <w:color w:val="00A94F"/>
                      <w:sz w:val="60"/>
                      <w:szCs w:val="60"/>
                    </w:rPr>
                    <w:t>Best Practices: October Catch</w:t>
                  </w:r>
                </w:p>
                <w:p w:rsidR="00B526F6" w:rsidRDefault="00B526F6">
                  <w:pPr>
                    <w:spacing w:line="360" w:lineRule="auto"/>
                  </w:pPr>
                  <w:r>
                    <w:rPr>
                      <w:rFonts w:ascii="Helvetica" w:hAnsi="Helvetica" w:cs="Helvetica"/>
                      <w:i/>
                      <w:iCs/>
                      <w:color w:val="606060"/>
                      <w:sz w:val="23"/>
                      <w:szCs w:val="23"/>
                    </w:rPr>
                    <w:t>by Dr. Kelsey Morris</w:t>
                  </w:r>
                </w:p>
                <w:p w:rsidR="00B526F6" w:rsidRDefault="00B526F6">
                  <w:pPr>
                    <w:spacing w:line="360" w:lineRule="auto"/>
                  </w:pPr>
                  <w:r>
                    <w:rPr>
                      <w:rFonts w:ascii="Helvetica" w:hAnsi="Helvetica" w:cs="Helvetica"/>
                      <w:color w:val="606060"/>
                      <w:sz w:val="23"/>
                      <w:szCs w:val="23"/>
                    </w:rPr>
                    <w:br/>
                    <w:t>Did you know this is the most valuable time of year for predicting student behavioral success? It’s true. Beyond their utility in data-based decision making, office discipline referrals (ODRs) can be used as a screening measure to identify students who may benefit from targeted behavioral supports in addition to what is offered at the universal level of support</w:t>
                  </w:r>
                  <w:r>
                    <w:rPr>
                      <w:rFonts w:ascii="Helvetica" w:hAnsi="Helvetica" w:cs="Helvetica"/>
                      <w:color w:val="606060"/>
                      <w:sz w:val="23"/>
                      <w:szCs w:val="23"/>
                      <w:vertAlign w:val="superscript"/>
                    </w:rPr>
                    <w:t>1</w:t>
                  </w:r>
                  <w:proofErr w:type="gramStart"/>
                  <w:r>
                    <w:rPr>
                      <w:rFonts w:ascii="Helvetica" w:hAnsi="Helvetica" w:cs="Helvetica"/>
                      <w:color w:val="606060"/>
                      <w:sz w:val="23"/>
                      <w:szCs w:val="23"/>
                      <w:vertAlign w:val="superscript"/>
                    </w:rPr>
                    <w:t>,2</w:t>
                  </w:r>
                  <w:proofErr w:type="gramEnd"/>
                  <w:r>
                    <w:rPr>
                      <w:rFonts w:ascii="Helvetica" w:hAnsi="Helvetica" w:cs="Helvetica"/>
                      <w:color w:val="606060"/>
                      <w:sz w:val="23"/>
                      <w:szCs w:val="23"/>
                      <w:vertAlign w:val="superscript"/>
                    </w:rPr>
                    <w:t>.</w:t>
                  </w:r>
                </w:p>
                <w:p w:rsidR="00B526F6" w:rsidRDefault="00B526F6">
                  <w:pPr>
                    <w:spacing w:line="360" w:lineRule="auto"/>
                  </w:pPr>
                  <w:r>
                    <w:rPr>
                      <w:rFonts w:ascii="Helvetica" w:hAnsi="Helvetica" w:cs="Helvetica"/>
                      <w:color w:val="606060"/>
                      <w:sz w:val="23"/>
                      <w:szCs w:val="23"/>
                    </w:rPr>
                    <w:t> </w:t>
                  </w:r>
                </w:p>
                <w:p w:rsidR="00B526F6" w:rsidRDefault="00B526F6">
                  <w:pPr>
                    <w:spacing w:line="360" w:lineRule="auto"/>
                  </w:pPr>
                  <w:r>
                    <w:rPr>
                      <w:rFonts w:ascii="Helvetica" w:hAnsi="Helvetica" w:cs="Helvetica"/>
                      <w:color w:val="606060"/>
                      <w:sz w:val="23"/>
                      <w:szCs w:val="23"/>
                    </w:rPr>
                    <w:t>The number of ODRs students receive by the end of October is a highly accurate predictor of their ODR accumulation through the remainder of the year. Research results demonstrate 50% of students who reached the level of 6 or more total ODRs during the course of the year already had 2 or more ODRs by the end of October and 79% had 2 or more ODRs by the end of December</w:t>
                  </w:r>
                  <w:r>
                    <w:rPr>
                      <w:rFonts w:ascii="Helvetica" w:hAnsi="Helvetica" w:cs="Helvetica"/>
                      <w:color w:val="606060"/>
                      <w:sz w:val="23"/>
                      <w:szCs w:val="23"/>
                      <w:vertAlign w:val="superscript"/>
                    </w:rPr>
                    <w:t>3</w:t>
                  </w:r>
                  <w:r>
                    <w:rPr>
                      <w:rFonts w:ascii="Helvetica" w:hAnsi="Helvetica" w:cs="Helvetica"/>
                      <w:color w:val="606060"/>
                      <w:sz w:val="23"/>
                      <w:szCs w:val="23"/>
                    </w:rPr>
                    <w:t>.</w:t>
                  </w:r>
                  <w:r>
                    <w:rPr>
                      <w:rFonts w:ascii="Helvetica" w:hAnsi="Helvetica" w:cs="Helvetica"/>
                      <w:color w:val="606060"/>
                      <w:sz w:val="23"/>
                      <w:szCs w:val="23"/>
                    </w:rPr>
                    <w:br/>
                    <w:t> </w:t>
                  </w:r>
                </w:p>
                <w:p w:rsidR="00B526F6" w:rsidRDefault="00B526F6">
                  <w:pPr>
                    <w:spacing w:line="360" w:lineRule="auto"/>
                  </w:pPr>
                  <w:r>
                    <w:rPr>
                      <w:rFonts w:ascii="Helvetica" w:hAnsi="Helvetica" w:cs="Helvetica"/>
                      <w:color w:val="606060"/>
                      <w:sz w:val="23"/>
                      <w:szCs w:val="23"/>
                    </w:rPr>
                    <w:t>So, what does this mean for your schools/facilities? If you are waiting until students receive 6 or more ODRs to identifying them for additional support, you are probably waiting too long. By proactively using ODRs as a screening measure in the fall to identify students in need of additional supports, schools/facilities can intervene early and disrupt a student’s ODR growth trajectory. </w:t>
                  </w:r>
                  <w:r>
                    <w:rPr>
                      <w:rFonts w:ascii="Helvetica" w:hAnsi="Helvetica" w:cs="Helvetica"/>
                      <w:color w:val="606060"/>
                      <w:sz w:val="23"/>
                      <w:szCs w:val="23"/>
                    </w:rPr>
                    <w:br/>
                    <w:t> </w:t>
                  </w:r>
                </w:p>
                <w:p w:rsidR="00B526F6" w:rsidRDefault="00B526F6">
                  <w:pPr>
                    <w:spacing w:line="360" w:lineRule="auto"/>
                  </w:pPr>
                  <w:r>
                    <w:rPr>
                      <w:rFonts w:ascii="Helvetica" w:hAnsi="Helvetica" w:cs="Helvetica"/>
                      <w:color w:val="606060"/>
                      <w:sz w:val="23"/>
                      <w:szCs w:val="23"/>
                    </w:rPr>
                    <w:t>Your schools/facilities can use SWIS to engage in this “October Catch”. Generate the Referrals by Student report to identify who has received 2 or more ODRs by the end of October. Use this information to intervene earlier and positively change the outcomes for a significant number of students.</w:t>
                  </w:r>
                </w:p>
              </w:tc>
            </w:tr>
          </w:tbl>
          <w:p w:rsidR="00B526F6" w:rsidRDefault="00B526F6">
            <w:pPr>
              <w:rPr>
                <w:rFonts w:asciiTheme="minorHAnsi" w:eastAsiaTheme="minorEastAsia" w:hAnsiTheme="minorHAnsi" w:cstheme="minorBidi"/>
              </w:rPr>
            </w:pPr>
          </w:p>
        </w:tc>
      </w:tr>
    </w:tbl>
    <w:p w:rsidR="00B526F6" w:rsidRDefault="00B526F6" w:rsidP="00B526F6">
      <w:r>
        <w:rPr>
          <w:rFonts w:ascii="Times New Roman" w:hAnsi="Times New Roman"/>
          <w:sz w:val="24"/>
          <w:szCs w:val="24"/>
        </w:rPr>
        <w:t> </w:t>
      </w:r>
    </w:p>
    <w:tbl>
      <w:tblPr>
        <w:tblW w:w="5000" w:type="pct"/>
        <w:tblCellMar>
          <w:left w:w="0" w:type="dxa"/>
          <w:right w:w="0" w:type="dxa"/>
        </w:tblCellMar>
        <w:tblLook w:val="04A0"/>
      </w:tblPr>
      <w:tblGrid>
        <w:gridCol w:w="9360"/>
      </w:tblGrid>
      <w:tr w:rsidR="00B526F6" w:rsidTr="00B526F6">
        <w:tc>
          <w:tcPr>
            <w:tcW w:w="0" w:type="auto"/>
            <w:hideMark/>
          </w:tcPr>
          <w:tbl>
            <w:tblPr>
              <w:tblpPr w:leftFromText="36" w:rightFromText="36" w:vertAnchor="text"/>
              <w:tblW w:w="4230" w:type="dxa"/>
              <w:tblCellMar>
                <w:left w:w="0" w:type="dxa"/>
                <w:right w:w="0" w:type="dxa"/>
              </w:tblCellMar>
              <w:tblLook w:val="04A0"/>
            </w:tblPr>
            <w:tblGrid>
              <w:gridCol w:w="4230"/>
            </w:tblGrid>
            <w:tr w:rsidR="00B526F6">
              <w:tc>
                <w:tcPr>
                  <w:tcW w:w="0" w:type="auto"/>
                  <w:tcMar>
                    <w:top w:w="135" w:type="dxa"/>
                    <w:left w:w="270" w:type="dxa"/>
                    <w:bottom w:w="135" w:type="dxa"/>
                    <w:right w:w="0" w:type="dxa"/>
                  </w:tcMar>
                  <w:hideMark/>
                </w:tcPr>
                <w:p w:rsidR="00B526F6" w:rsidRDefault="00B526F6">
                  <w:pPr>
                    <w:spacing w:line="264" w:lineRule="auto"/>
                  </w:pPr>
                  <w:r>
                    <w:rPr>
                      <w:rFonts w:ascii="Helvetica" w:hAnsi="Helvetica" w:cs="Helvetica"/>
                      <w:color w:val="606060"/>
                      <w:sz w:val="15"/>
                      <w:szCs w:val="15"/>
                    </w:rPr>
                    <w:t xml:space="preserve">1. Tobin, T. J., </w:t>
                  </w:r>
                  <w:proofErr w:type="spellStart"/>
                  <w:r>
                    <w:rPr>
                      <w:rFonts w:ascii="Helvetica" w:hAnsi="Helvetica" w:cs="Helvetica"/>
                      <w:color w:val="606060"/>
                      <w:sz w:val="15"/>
                      <w:szCs w:val="15"/>
                    </w:rPr>
                    <w:t>Sugai</w:t>
                  </w:r>
                  <w:proofErr w:type="spellEnd"/>
                  <w:r>
                    <w:rPr>
                      <w:rFonts w:ascii="Helvetica" w:hAnsi="Helvetica" w:cs="Helvetica"/>
                      <w:color w:val="606060"/>
                      <w:sz w:val="15"/>
                      <w:szCs w:val="15"/>
                    </w:rPr>
                    <w:t>, G., &amp; Colvin, G. (1996). Patterns in middle school discipline records. Journal of Emotional and Behavioral  Disorders, 4, 82-94</w:t>
                  </w:r>
                  <w:r>
                    <w:rPr>
                      <w:rFonts w:ascii="Helvetica" w:hAnsi="Helvetica" w:cs="Helvetica"/>
                      <w:color w:val="606060"/>
                      <w:sz w:val="14"/>
                      <w:szCs w:val="14"/>
                    </w:rPr>
                    <w:br/>
                    <w:t> </w:t>
                  </w:r>
                </w:p>
                <w:p w:rsidR="00B526F6" w:rsidRDefault="00B526F6">
                  <w:pPr>
                    <w:spacing w:line="264" w:lineRule="auto"/>
                  </w:pPr>
                  <w:r>
                    <w:rPr>
                      <w:rFonts w:ascii="Helvetica" w:hAnsi="Helvetica" w:cs="Helvetica"/>
                      <w:color w:val="606060"/>
                      <w:sz w:val="15"/>
                      <w:szCs w:val="15"/>
                    </w:rPr>
                    <w:t xml:space="preserve">2. Tobin, T. J., &amp; </w:t>
                  </w:r>
                  <w:proofErr w:type="spellStart"/>
                  <w:r>
                    <w:rPr>
                      <w:rFonts w:ascii="Helvetica" w:hAnsi="Helvetica" w:cs="Helvetica"/>
                      <w:color w:val="606060"/>
                      <w:sz w:val="15"/>
                      <w:szCs w:val="15"/>
                    </w:rPr>
                    <w:t>Sugai</w:t>
                  </w:r>
                  <w:proofErr w:type="spellEnd"/>
                  <w:r>
                    <w:rPr>
                      <w:rFonts w:ascii="Helvetica" w:hAnsi="Helvetica" w:cs="Helvetica"/>
                      <w:color w:val="606060"/>
                      <w:sz w:val="15"/>
                      <w:szCs w:val="15"/>
                    </w:rPr>
                    <w:t>, G. M. (1999) Using sixth-grade school records to predict school violence, chronic discipline problems, and high school outcomes. Journal of Emotional and Behavioral Disorders, 7, 40-53</w:t>
                  </w:r>
                </w:p>
                <w:p w:rsidR="00B526F6" w:rsidRDefault="00B526F6">
                  <w:pPr>
                    <w:spacing w:line="264" w:lineRule="auto"/>
                  </w:pPr>
                  <w:r>
                    <w:rPr>
                      <w:rFonts w:ascii="Helvetica" w:hAnsi="Helvetica" w:cs="Helvetica"/>
                      <w:color w:val="606060"/>
                      <w:sz w:val="14"/>
                      <w:szCs w:val="14"/>
                    </w:rPr>
                    <w:t> </w:t>
                  </w:r>
                </w:p>
              </w:tc>
            </w:tr>
          </w:tbl>
          <w:tbl>
            <w:tblPr>
              <w:tblpPr w:leftFromText="36" w:rightFromText="36" w:vertAnchor="text" w:tblpXSpec="right" w:tblpYSpec="center"/>
              <w:tblW w:w="4230" w:type="dxa"/>
              <w:tblCellMar>
                <w:left w:w="0" w:type="dxa"/>
                <w:right w:w="0" w:type="dxa"/>
              </w:tblCellMar>
              <w:tblLook w:val="04A0"/>
            </w:tblPr>
            <w:tblGrid>
              <w:gridCol w:w="4230"/>
            </w:tblGrid>
            <w:tr w:rsidR="00B526F6">
              <w:tc>
                <w:tcPr>
                  <w:tcW w:w="0" w:type="auto"/>
                  <w:tcMar>
                    <w:top w:w="135" w:type="dxa"/>
                    <w:left w:w="0" w:type="dxa"/>
                    <w:bottom w:w="135" w:type="dxa"/>
                    <w:right w:w="270" w:type="dxa"/>
                  </w:tcMar>
                  <w:hideMark/>
                </w:tcPr>
                <w:p w:rsidR="00B526F6" w:rsidRDefault="00B526F6">
                  <w:pPr>
                    <w:spacing w:line="264" w:lineRule="auto"/>
                  </w:pPr>
                  <w:r>
                    <w:rPr>
                      <w:rFonts w:ascii="Helvetica" w:hAnsi="Helvetica" w:cs="Helvetica"/>
                      <w:color w:val="606060"/>
                      <w:sz w:val="15"/>
                      <w:szCs w:val="15"/>
                    </w:rPr>
                    <w:t>3. McIntosh, K., Frank, J. L., &amp; Spaulding, S. A. (2010). Establishing research-based trajectories of office discipline referrals for individual student. School Psychology Review, 39, 380-394.</w:t>
                  </w:r>
                  <w:r>
                    <w:rPr>
                      <w:rFonts w:ascii="Helvetica" w:hAnsi="Helvetica" w:cs="Helvetica"/>
                      <w:color w:val="606060"/>
                      <w:sz w:val="14"/>
                      <w:szCs w:val="14"/>
                    </w:rPr>
                    <w:t xml:space="preserve"> </w:t>
                  </w:r>
                </w:p>
              </w:tc>
            </w:tr>
          </w:tbl>
          <w:p w:rsidR="00B526F6" w:rsidRDefault="00B526F6">
            <w:pPr>
              <w:rPr>
                <w:rFonts w:asciiTheme="minorHAnsi" w:eastAsiaTheme="minorEastAsia" w:hAnsiTheme="minorHAnsi" w:cstheme="minorBidi"/>
              </w:rPr>
            </w:pPr>
          </w:p>
        </w:tc>
      </w:tr>
    </w:tbl>
    <w:p w:rsidR="00B526F6" w:rsidRDefault="00B526F6" w:rsidP="00B526F6">
      <w:r>
        <w:rPr>
          <w:rFonts w:ascii="Times New Roman" w:hAnsi="Times New Roman"/>
          <w:sz w:val="24"/>
          <w:szCs w:val="24"/>
        </w:rPr>
        <w:lastRenderedPageBreak/>
        <w:t> </w:t>
      </w:r>
    </w:p>
    <w:tbl>
      <w:tblPr>
        <w:tblW w:w="5000" w:type="pct"/>
        <w:tblCellMar>
          <w:left w:w="0" w:type="dxa"/>
          <w:right w:w="0" w:type="dxa"/>
        </w:tblCellMar>
        <w:tblLook w:val="04A0"/>
      </w:tblPr>
      <w:tblGrid>
        <w:gridCol w:w="9900"/>
      </w:tblGrid>
      <w:tr w:rsidR="00B526F6" w:rsidTr="00B526F6">
        <w:tc>
          <w:tcPr>
            <w:tcW w:w="0" w:type="auto"/>
            <w:tcMar>
              <w:top w:w="135" w:type="dxa"/>
              <w:left w:w="270" w:type="dxa"/>
              <w:bottom w:w="135" w:type="dxa"/>
              <w:right w:w="270" w:type="dxa"/>
            </w:tcMar>
            <w:hideMark/>
          </w:tcPr>
          <w:tbl>
            <w:tblPr>
              <w:tblW w:w="5000" w:type="pct"/>
              <w:tblCellMar>
                <w:left w:w="0" w:type="dxa"/>
                <w:right w:w="0" w:type="dxa"/>
              </w:tblCellMar>
              <w:tblLook w:val="04A0"/>
            </w:tblPr>
            <w:tblGrid>
              <w:gridCol w:w="9340"/>
            </w:tblGrid>
            <w:tr w:rsidR="00B526F6">
              <w:tc>
                <w:tcPr>
                  <w:tcW w:w="0" w:type="auto"/>
                  <w:tcBorders>
                    <w:top w:val="single" w:sz="8" w:space="0" w:color="228B22"/>
                    <w:left w:val="single" w:sz="8" w:space="0" w:color="228B22"/>
                    <w:bottom w:val="single" w:sz="8" w:space="0" w:color="228B22"/>
                    <w:right w:val="single" w:sz="8" w:space="0" w:color="228B22"/>
                  </w:tcBorders>
                  <w:shd w:val="clear" w:color="auto" w:fill="FFFFF0"/>
                  <w:hideMark/>
                </w:tcPr>
                <w:tbl>
                  <w:tblPr>
                    <w:tblpPr w:leftFromText="36" w:rightFromText="36" w:vertAnchor="text"/>
                    <w:tblW w:w="0" w:type="auto"/>
                    <w:tblCellMar>
                      <w:left w:w="0" w:type="dxa"/>
                      <w:right w:w="0" w:type="dxa"/>
                    </w:tblCellMar>
                    <w:tblLook w:val="04A0"/>
                  </w:tblPr>
                  <w:tblGrid>
                    <w:gridCol w:w="2382"/>
                  </w:tblGrid>
                  <w:tr w:rsidR="00B526F6">
                    <w:tc>
                      <w:tcPr>
                        <w:tcW w:w="0" w:type="auto"/>
                        <w:hideMark/>
                      </w:tcPr>
                      <w:p w:rsidR="00B526F6" w:rsidRDefault="00B526F6">
                        <w:r>
                          <w:rPr>
                            <w:rFonts w:ascii="Times New Roman" w:hAnsi="Times New Roman"/>
                            <w:noProof/>
                            <w:sz w:val="24"/>
                            <w:szCs w:val="24"/>
                          </w:rPr>
                          <w:drawing>
                            <wp:inline distT="0" distB="0" distL="0" distR="0">
                              <wp:extent cx="1493520" cy="1889760"/>
                              <wp:effectExtent l="19050" t="0" r="0" b="0"/>
                              <wp:docPr id="1" name="Picture 2" descr="https://gallery.mailchimp.com/cdd6aa64429c3782cf6461508/images/image0163d6f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cdd6aa64429c3782cf6461508/images/image0163d6f33.jpg"/>
                                      <pic:cNvPicPr>
                                        <a:picLocks noChangeAspect="1" noChangeArrowheads="1"/>
                                      </pic:cNvPicPr>
                                    </pic:nvPicPr>
                                    <pic:blipFill>
                                      <a:blip r:embed="rId4" r:link="rId5" cstate="print"/>
                                      <a:srcRect/>
                                      <a:stretch>
                                        <a:fillRect/>
                                      </a:stretch>
                                    </pic:blipFill>
                                    <pic:spPr bwMode="auto">
                                      <a:xfrm>
                                        <a:off x="0" y="0"/>
                                        <a:ext cx="1493520" cy="1889760"/>
                                      </a:xfrm>
                                      <a:prstGeom prst="rect">
                                        <a:avLst/>
                                      </a:prstGeom>
                                      <a:noFill/>
                                      <a:ln w="9525">
                                        <a:noFill/>
                                        <a:miter lim="800000"/>
                                        <a:headEnd/>
                                        <a:tailEnd/>
                                      </a:ln>
                                    </pic:spPr>
                                  </pic:pic>
                                </a:graphicData>
                              </a:graphic>
                            </wp:inline>
                          </w:drawing>
                        </w:r>
                      </w:p>
                    </w:tc>
                  </w:tr>
                </w:tbl>
                <w:tbl>
                  <w:tblPr>
                    <w:tblpPr w:leftFromText="36" w:rightFromText="36" w:vertAnchor="text" w:tblpXSpec="right" w:tblpYSpec="center"/>
                    <w:tblW w:w="5280" w:type="dxa"/>
                    <w:tblCellMar>
                      <w:left w:w="0" w:type="dxa"/>
                      <w:right w:w="0" w:type="dxa"/>
                    </w:tblCellMar>
                    <w:tblLook w:val="04A0"/>
                  </w:tblPr>
                  <w:tblGrid>
                    <w:gridCol w:w="5280"/>
                  </w:tblGrid>
                  <w:tr w:rsidR="00B526F6">
                    <w:tc>
                      <w:tcPr>
                        <w:tcW w:w="0" w:type="auto"/>
                        <w:tcMar>
                          <w:top w:w="270" w:type="dxa"/>
                          <w:left w:w="0" w:type="dxa"/>
                          <w:bottom w:w="270" w:type="dxa"/>
                          <w:right w:w="270" w:type="dxa"/>
                        </w:tcMar>
                        <w:hideMark/>
                      </w:tcPr>
                      <w:p w:rsidR="00B526F6" w:rsidRDefault="00B526F6">
                        <w:pPr>
                          <w:spacing w:line="300" w:lineRule="auto"/>
                        </w:pPr>
                        <w:r>
                          <w:rPr>
                            <w:rFonts w:ascii="Helvetica" w:hAnsi="Helvetica" w:cs="Helvetica"/>
                            <w:b/>
                            <w:bCs/>
                            <w:color w:val="808080"/>
                            <w:sz w:val="24"/>
                            <w:szCs w:val="24"/>
                          </w:rPr>
                          <w:t>About Kelsey Morris</w:t>
                        </w:r>
                      </w:p>
                      <w:p w:rsidR="00B526F6" w:rsidRDefault="00B526F6">
                        <w:r>
                          <w:rPr>
                            <w:rFonts w:ascii="Helvetica" w:hAnsi="Helvetica" w:cs="Helvetica"/>
                            <w:color w:val="606060"/>
                            <w:sz w:val="21"/>
                            <w:szCs w:val="21"/>
                          </w:rPr>
                          <w:t xml:space="preserve">Dr. Kelsey Morris is our newest member of the training team. Previously, he served as elementary school Vice Principal and as associate coordinator of PBIS for Columbia Public Schools (Columbia, MO). His service in the district included coordinating multi-tiered systems of support at the school level as well as scaling up multi-tiered systems of support across the district.    </w:t>
                        </w:r>
                      </w:p>
                    </w:tc>
                  </w:tr>
                </w:tbl>
                <w:p w:rsidR="00B526F6" w:rsidRDefault="00B526F6">
                  <w:pPr>
                    <w:rPr>
                      <w:rFonts w:asciiTheme="minorHAnsi" w:eastAsiaTheme="minorEastAsia" w:hAnsiTheme="minorHAnsi" w:cstheme="minorBidi"/>
                    </w:rPr>
                  </w:pPr>
                </w:p>
              </w:tc>
            </w:tr>
          </w:tbl>
          <w:p w:rsidR="00B526F6" w:rsidRDefault="00B526F6">
            <w:pPr>
              <w:rPr>
                <w:rFonts w:asciiTheme="minorHAnsi" w:eastAsiaTheme="minorEastAsia" w:hAnsiTheme="minorHAnsi" w:cstheme="minorBidi"/>
              </w:rPr>
            </w:pPr>
          </w:p>
        </w:tc>
      </w:tr>
    </w:tbl>
    <w:p w:rsidR="00B526F6" w:rsidRDefault="00B526F6" w:rsidP="00B526F6">
      <w:r>
        <w:rPr>
          <w:rFonts w:ascii="Times New Roman" w:hAnsi="Times New Roman"/>
          <w:sz w:val="24"/>
          <w:szCs w:val="24"/>
        </w:rPr>
        <w:t> </w:t>
      </w:r>
    </w:p>
    <w:p w:rsidR="00DB59EA" w:rsidRDefault="00DB59EA"/>
    <w:sectPr w:rsidR="00DB59EA" w:rsidSect="00DB5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526F6"/>
    <w:rsid w:val="00B526F6"/>
    <w:rsid w:val="00DB5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6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6F6"/>
    <w:rPr>
      <w:rFonts w:ascii="Tahoma" w:hAnsi="Tahoma" w:cs="Tahoma"/>
      <w:sz w:val="16"/>
      <w:szCs w:val="16"/>
    </w:rPr>
  </w:style>
  <w:style w:type="character" w:customStyle="1" w:styleId="BalloonTextChar">
    <w:name w:val="Balloon Text Char"/>
    <w:basedOn w:val="DefaultParagraphFont"/>
    <w:link w:val="BalloonText"/>
    <w:uiPriority w:val="99"/>
    <w:semiHidden/>
    <w:rsid w:val="00B52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578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CED64B.3DB079B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368</Words>
  <Characters>2099</Characters>
  <Application>Microsoft Office Word</Application>
  <DocSecurity>0</DocSecurity>
  <Lines>17</Lines>
  <Paragraphs>4</Paragraphs>
  <ScaleCrop>false</ScaleCrop>
  <Company>HP</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Shelby</dc:creator>
  <cp:lastModifiedBy>Meghan Shelby</cp:lastModifiedBy>
  <cp:revision>1</cp:revision>
  <dcterms:created xsi:type="dcterms:W3CDTF">2013-11-01T14:21:00Z</dcterms:created>
  <dcterms:modified xsi:type="dcterms:W3CDTF">2013-11-01T14:24:00Z</dcterms:modified>
</cp:coreProperties>
</file>